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bookmarkStart w:id="0" w:name="_GoBack"/>
      <w:r>
        <w:rPr>
          <w:rFonts w:hint="eastAsia"/>
          <w:b/>
          <w:bCs/>
          <w:sz w:val="44"/>
          <w:szCs w:val="44"/>
        </w:rPr>
        <w:t>企业单位药品购销合同协议</w:t>
      </w:r>
    </w:p>
    <w:bookmarkEnd w:id="0"/>
    <w:p>
      <w:pPr>
        <w:rPr>
          <w:rFonts w:hint="eastAsia"/>
        </w:rPr>
      </w:pPr>
      <w:r>
        <w:rPr>
          <w:rFonts w:hint="eastAsia"/>
        </w:rPr>
        <w:t>甲方：__________________________(医疗机构)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乙方：__________________________(经 销 商)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根据《中华人民共和国药品管理法》、《广东省医疗机构药品阳光采购实施方案》、《广东省医疗机构药品网上限价竞价阳光采购监督管理暂行办法》的规定，为确保药品网上交易的顺利进行，明确交易双方的权利和义务，特订立本合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条甲方须根据乙方在广东省医药采购服务平台(以下简称“平台”)所提供的药品信息，以网上采购的形式采购以下药品(见附表)，甲方通过药品网上交易系统向乙方发送订单通知，乙方据此供货;双方确认后的订单为本合同的重要组成部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乙方对甲方通过平台发出的订单通知，自甲方发出订单通知起一个工作日内必须确认。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第二条乙方须按购销合同采购药品一览表向甲方供应药品(见附表)。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第三条乙方应保证甲方在使用药品时免受第三方提出的有关专利权、商标权或保护期等方面的权利的要求。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第四条乙方所供应药品的质量应符合国家药品相关标准，药品包装、质量及价格须与入围品种的挂网信息一致，不得更改，按甲方要求提供相应的药检报告书，并将药品送到甲方指定地点。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第五条供货期限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乙方应自确认甲方订单通知起一个工作日内交货，最长不超过两个工作日;急救药品乙方应在4小时内送到。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第六条供货价格与货款结算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(一)供货价格：按平台所公布的采购价格执行，该价格包含成本、运输、包装、伴随服务、税费及其他一切附加费用;合同履行期间，如遇政策性调价，按平台更新后的价格执行，包括尚未售出的药品。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(二)货款结算：甲方在收到配送药品之日起最迟不得超过60日进行货款结算。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第七条药品验收及异议</w:t>
      </w:r>
    </w:p>
    <w:p>
      <w:pPr>
        <w:rPr>
          <w:rFonts w:hint="eastAsia"/>
        </w:rPr>
      </w:pPr>
    </w:p>
    <w:p>
      <w:r>
        <w:rPr>
          <w:rFonts w:hint="eastAsia"/>
        </w:rPr>
        <w:t>甲方对不符合质量、有效期、包装和订单数量要求的药品，有权拒绝接收，乙方应对不符合要求的药品及时进行更换，不得影响甲方的临床应用。甲方因使用、保管、保养不善等自身原因造成产品失效或质量下降的，后果自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0F0213"/>
    <w:rsid w:val="270F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2021-09-18T08:39:00Z</dcterms:created>
  <dc:creator>Administrator</dc:creator>
  <cp:lastModifiedBy>Administrator</cp:lastModifiedBy>
  <dcterms:modified xsi:type="dcterms:W3CDTF">2021-09-18T08:39:41Z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ED124D7735C24C83BD864547EE6D2AAC</vt:lpwstr>
  </property>
</Properties>
</file>