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20" w:firstLineChars="50"/>
        <w:jc w:val="center"/>
        <w:rPr>
          <w:rFonts w:ascii="阿里巴巴普惠体 R" w:hAnsi="阿里巴巴普惠体 R" w:eastAsia="阿里巴巴普惠体 R" w:cs="阿里巴巴普惠体 R"/>
          <w:b/>
          <w:bCs/>
          <w:color w:val="000000"/>
          <w:sz w:val="24"/>
          <w:szCs w:val="48"/>
        </w:rPr>
        <w:sectPr>
          <w:pgSz w:w="11907" w:h="16839"/>
          <w:pgMar w:top="1440" w:right="1803" w:bottom="1440" w:left="1803" w:header="720" w:footer="720" w:gutter="0"/>
          <w:cols w:space="720" w:num="1"/>
          <w:docGrid w:linePitch="286" w:charSpace="0"/>
        </w:sectPr>
      </w:pPr>
      <w:bookmarkStart w:id="0" w:name="_GoBack"/>
      <w:bookmarkEnd w:id="0"/>
      <w:r>
        <w:rPr>
          <w:rFonts w:ascii="阿里巴巴普惠体 R" w:hAnsi="阿里巴巴普惠体 R" w:eastAsia="阿里巴巴普惠体 R" w:cs="阿里巴巴普惠体 R"/>
          <w:b/>
          <w:bCs/>
          <w:color w:val="000000"/>
          <w:sz w:val="24"/>
          <w:szCs w:val="48"/>
        </w:rPr>
        <mc:AlternateContent>
          <mc:Choice Requires="wps">
            <w:drawing>
              <wp:anchor distT="0" distB="0" distL="114300" distR="114300" simplePos="0" relativeHeight="251660288" behindDoc="0" locked="0" layoutInCell="1" allowOverlap="1">
                <wp:simplePos x="0" y="0"/>
                <wp:positionH relativeFrom="margin">
                  <wp:posOffset>-1144905</wp:posOffset>
                </wp:positionH>
                <wp:positionV relativeFrom="margin">
                  <wp:posOffset>3657600</wp:posOffset>
                </wp:positionV>
                <wp:extent cx="7556500" cy="1117600"/>
                <wp:effectExtent l="0" t="0" r="0" b="6350"/>
                <wp:wrapNone/>
                <wp:docPr id="2" name="文本框 2"/>
                <wp:cNvGraphicFramePr/>
                <a:graphic xmlns:a="http://schemas.openxmlformats.org/drawingml/2006/main">
                  <a:graphicData uri="http://schemas.microsoft.com/office/word/2010/wordprocessingShape">
                    <wps:wsp>
                      <wps:cNvSpPr txBox="1"/>
                      <wps:spPr>
                        <a:xfrm>
                          <a:off x="0" y="0"/>
                          <a:ext cx="7556500" cy="1117600"/>
                        </a:xfrm>
                        <a:prstGeom prst="rect">
                          <a:avLst/>
                        </a:prstGeom>
                        <a:noFill/>
                        <a:ln w="6350">
                          <a:noFill/>
                        </a:ln>
                      </wps:spPr>
                      <wps:txbx>
                        <w:txbxContent>
                          <w:p>
                            <w:pPr>
                              <w:jc w:val="center"/>
                              <w:rPr>
                                <w:rFonts w:ascii="阿里巴巴普惠体 R" w:hAnsi="阿里巴巴普惠体 R" w:eastAsia="阿里巴巴普惠体 R" w:cs="阿里巴巴普惠体 R"/>
                                <w:b/>
                                <w:color w:val="000000"/>
                                <w:sz w:val="90"/>
                              </w:rPr>
                            </w:pPr>
                            <w:r>
                              <w:rPr>
                                <w:rFonts w:hint="eastAsia" w:ascii="阿里巴巴普惠体 R" w:hAnsi="阿里巴巴普惠体 R" w:eastAsia="阿里巴巴普惠体 R" w:cs="阿里巴巴普惠体 R"/>
                                <w:b/>
                                <w:color w:val="000000"/>
                                <w:sz w:val="90"/>
                              </w:rPr>
                              <w:t>美食广场加盟协议书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15pt;margin-top:288pt;height:88pt;width:595pt;mso-position-horizontal-relative:margin;mso-position-vertical-relative:margin;z-index:251660288;mso-width-relative:page;mso-height-relative:page;" filled="f" stroked="f" coordsize="21600,21600" o:gfxdata="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E7lzPXdAAAADQEAAA8AAAAAAAAAAQAgAAAAIgAA&#10;AGRycy9kb3ducmV2LnhtbFBLAQIUABQAAAAIAIdO4kB4rLabPAIAAGcEAAAOAAAAAAAAAAEAIAAA&#10;ACwBAABkcnMvZTJvRG9jLnhtbFBLBQYAAAAABgAGAFkBAADaBQAAAAA=&#10;">
                <v:fill on="f" focussize="0,0"/>
                <v:stroke on="f" weight="0.5pt"/>
                <v:imagedata o:title=""/>
                <o:lock v:ext="edit" aspectratio="f"/>
                <v:textbox>
                  <w:txbxContent>
                    <w:p>
                      <w:pPr>
                        <w:jc w:val="center"/>
                        <w:rPr>
                          <w:rFonts w:ascii="阿里巴巴普惠体 R" w:hAnsi="阿里巴巴普惠体 R" w:eastAsia="阿里巴巴普惠体 R" w:cs="阿里巴巴普惠体 R"/>
                          <w:b/>
                          <w:color w:val="000000"/>
                          <w:sz w:val="90"/>
                        </w:rPr>
                      </w:pPr>
                      <w:r>
                        <w:rPr>
                          <w:rFonts w:hint="eastAsia" w:ascii="阿里巴巴普惠体 R" w:hAnsi="阿里巴巴普惠体 R" w:eastAsia="阿里巴巴普惠体 R" w:cs="阿里巴巴普惠体 R"/>
                          <w:b/>
                          <w:color w:val="000000"/>
                          <w:sz w:val="90"/>
                        </w:rPr>
                        <w:t>美食广场加盟协议书</w:t>
                      </w:r>
                    </w:p>
                  </w:txbxContent>
                </v:textbox>
              </v:shape>
            </w:pict>
          </mc:Fallback>
        </mc:AlternateContent>
      </w:r>
      <w:r>
        <w:rPr>
          <w:rFonts w:ascii="阿里巴巴普惠体 R" w:hAnsi="阿里巴巴普惠体 R" w:eastAsia="阿里巴巴普惠体 R" w:cs="阿里巴巴普惠体 R"/>
          <w:b/>
          <w:bCs/>
          <w:color w:val="000000"/>
          <w:sz w:val="24"/>
          <w:szCs w:val="48"/>
        </w:rPr>
        <w:drawing>
          <wp:anchor distT="0" distB="0" distL="114300" distR="114300" simplePos="0" relativeHeight="251659264" behindDoc="0" locked="0" layoutInCell="1" allowOverlap="1">
            <wp:simplePos x="0" y="0"/>
            <wp:positionH relativeFrom="margin">
              <wp:posOffset>-1143000</wp:posOffset>
            </wp:positionH>
            <wp:positionV relativeFrom="margin">
              <wp:posOffset>-952500</wp:posOffset>
            </wp:positionV>
            <wp:extent cx="7556500" cy="10693400"/>
            <wp:effectExtent l="0" t="0" r="6350" b="0"/>
            <wp:wrapNone/>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a:extLst>
                        <a:ext uri="{28A0092B-C50C-407E-A947-70E740481C1C}">
                          <a14:useLocalDpi xmlns:a14="http://schemas.microsoft.com/office/drawing/2010/main" val="0"/>
                        </a:ext>
                      </a:extLst>
                    </a:blip>
                    <a:stretch>
                      <a:fillRect/>
                    </a:stretch>
                  </pic:blipFill>
                  <pic:spPr>
                    <a:xfrm>
                      <a:off x="0" y="0"/>
                      <a:ext cx="7556500" cy="10693400"/>
                    </a:xfrm>
                    <a:prstGeom prst="rect">
                      <a:avLst/>
                    </a:prstGeom>
                    <a:solidFill>
                      <a:srgbClr val="FFFFFF"/>
                    </a:solidFill>
                  </pic:spPr>
                </pic:pic>
              </a:graphicData>
            </a:graphic>
          </wp:anchor>
        </w:drawing>
      </w:r>
    </w:p>
    <w:p>
      <w:pPr>
        <w:spacing w:line="600" w:lineRule="exact"/>
        <w:ind w:firstLine="120" w:firstLineChars="50"/>
        <w:jc w:val="center"/>
        <w:rPr>
          <w:rFonts w:ascii="阿里巴巴普惠体 R" w:hAnsi="阿里巴巴普惠体 R" w:eastAsia="阿里巴巴普惠体 R" w:cs="阿里巴巴普惠体 R"/>
          <w:b/>
          <w:bCs/>
          <w:color w:val="000000"/>
          <w:sz w:val="24"/>
          <w:szCs w:val="48"/>
        </w:rPr>
      </w:pPr>
      <w:r>
        <w:rPr>
          <w:rFonts w:hint="eastAsia" w:ascii="阿里巴巴普惠体 R" w:hAnsi="阿里巴巴普惠体 R" w:eastAsia="阿里巴巴普惠体 R" w:cs="阿里巴巴普惠体 R"/>
          <w:b/>
          <w:bCs/>
          <w:color w:val="000000"/>
          <w:sz w:val="24"/>
          <w:szCs w:val="48"/>
        </w:rPr>
        <w:t>美食广场加盟协议书</w:t>
      </w:r>
    </w:p>
    <w:p>
      <w:p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甲方：餐饮管理服务有限公司</w:t>
      </w:r>
    </w:p>
    <w:p>
      <w:p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地址： 乙方：</w:t>
      </w:r>
    </w:p>
    <w:p>
      <w:p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地址：</w:t>
      </w:r>
    </w:p>
    <w:p>
      <w:pPr>
        <w:spacing w:line="600" w:lineRule="exact"/>
        <w:ind w:firstLine="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本着自愿、平等、互利、有偿的原则，甲、乙双方经友好协商，就                     项目，委托策划、招商、运营等有关事项达成以下共识，签订本协议书：</w:t>
      </w:r>
    </w:p>
    <w:p>
      <w:pPr>
        <w:numPr>
          <w:ilvl w:val="0"/>
          <w:numId w:val="1"/>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加盟标的物</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乙方将</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委托给甲方策划招商运营。</w:t>
      </w:r>
    </w:p>
    <w:p>
      <w:pPr>
        <w:numPr>
          <w:ilvl w:val="0"/>
          <w:numId w:val="1"/>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加盟时间</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委托时间从</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hint="eastAsia" w:ascii="阿里巴巴普惠体 R" w:hAnsi="阿里巴巴普惠体 R" w:eastAsia="阿里巴巴普惠体 R" w:cs="阿里巴巴普惠体 R"/>
          <w:i/>
          <w:iCs/>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日至</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w:t>
      </w:r>
    </w:p>
    <w:p>
      <w:pPr>
        <w:numPr>
          <w:ilvl w:val="0"/>
          <w:numId w:val="1"/>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加盟事项</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工程方面：甲方负责提供乙方美食广场里厨房用电工具的技术数据、强弱电、布线、监控、上下水、排烟、排气、污水、垃圾处理等方面的问题指导。</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规划方面：美食广场的整体规划、各品种规划、售卡POS机、销售结算等软件系统建设吗（软件硬件收费）</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招商方面：招商政策的制定、参与租赁合同拟定、商户的筛选及把关。</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装修方面：装修设计由甲方负责并承担费用，乙方参与共同研究审核确定，装修监管有甲方负责，装修结束后甲方自行验收。</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管理方面：协助建立相对完善的美食广场管理规章制度。管理人员与服务人员架构及数量的确定。对服务人员进行培训并负责开业的策划、组织、实施等工作。开业后进行一个月的跟进管理。</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四．加盟给予支持标准</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提供各种排烟、排气、排污等方面能够满足营业需求的技术数据。美食广场整体功能性等方面在美美地美食广场的基础上达到规划布局合理性上更加完善。</w:t>
      </w:r>
    </w:p>
    <w:p>
      <w:pPr>
        <w:numPr>
          <w:ilvl w:val="0"/>
          <w:numId w:val="2"/>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加盟费及支付方式</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加盟费总金额为人民币</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万元。签订加盟协议书后，乙方支付甲方60%的佣金，甲方收到上述佣金后需马上进入现场开始工作，美食广场开业时乙方支付甲方35%的佣金，美食广场开业满一个月后，甲方退出前，向甲方支付剩余5%佣金。</w:t>
      </w:r>
    </w:p>
    <w:p>
      <w:pPr>
        <w:numPr>
          <w:ilvl w:val="0"/>
          <w:numId w:val="2"/>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权利和义务</w:t>
      </w:r>
    </w:p>
    <w:p>
      <w:pPr>
        <w:numPr>
          <w:ilvl w:val="0"/>
          <w:numId w:val="3"/>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技术方面：由甲方负责全程技术条件的设定，乙方负责完成各项工作。</w:t>
      </w:r>
    </w:p>
    <w:p>
      <w:pPr>
        <w:numPr>
          <w:ilvl w:val="0"/>
          <w:numId w:val="3"/>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协调方面：乙方承担与工程、设备、装修、招商等各部门协调工作。</w:t>
      </w:r>
    </w:p>
    <w:p>
      <w:pPr>
        <w:numPr>
          <w:ilvl w:val="0"/>
          <w:numId w:val="3"/>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甲方向乙方提供整套的工作流程与计划标准，由乙方负责实施完成，甲方指导完成。</w:t>
      </w:r>
    </w:p>
    <w:p>
      <w:pPr>
        <w:numPr>
          <w:ilvl w:val="0"/>
          <w:numId w:val="2"/>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违约责任</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甲方按本协议的约定完成委托事项后，如乙方不按规定期限支付甲方佣金，乙方除应如数支付外还应向甲方支付违约金人民币六万元。</w:t>
      </w:r>
    </w:p>
    <w:p>
      <w:pPr>
        <w:numPr>
          <w:ilvl w:val="0"/>
          <w:numId w:val="2"/>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争议的解决方式</w:t>
      </w:r>
    </w:p>
    <w:p>
      <w:pPr>
        <w:numPr>
          <w:ilvl w:val="0"/>
          <w:numId w:val="4"/>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乙双方如在履行协议时发生争议，若协商解决不成，任何一方可向有管辖权的人民法院起诉。</w:t>
      </w:r>
    </w:p>
    <w:p>
      <w:pPr>
        <w:numPr>
          <w:ilvl w:val="0"/>
          <w:numId w:val="2"/>
        </w:numPr>
        <w:spacing w:line="600" w:lineRule="exact"/>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本协议条款中未尽事宜，甲、乙双方应友好协商解决，签订补充协议，补充协议与本合同具有同等的法律效力。（附件一）</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本协议双方签字盖章后生效，一式两份，双方各执一份。</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甲方签字盖章：                         乙方签字盖章：</w:t>
      </w:r>
    </w:p>
    <w:p>
      <w:pPr>
        <w:spacing w:line="600" w:lineRule="exact"/>
        <w:ind w:left="43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签订日期：                             签订日期：</w:t>
      </w:r>
    </w:p>
    <w:sectPr>
      <w:pgSz w:w="11907" w:h="16839"/>
      <w:pgMar w:top="1440" w:right="1803" w:bottom="1440" w:left="1803"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阿里巴巴普惠体 R">
    <w:altName w:val="宋体"/>
    <w:panose1 w:val="00020600040101010101"/>
    <w:charset w:val="86"/>
    <w:family w:val="roman"/>
    <w:pitch w:val="default"/>
    <w:sig w:usb0="00000000" w:usb1="00000000" w:usb2="0000001E"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7C676A"/>
    <w:multiLevelType w:val="multilevel"/>
    <w:tmpl w:val="067C676A"/>
    <w:lvl w:ilvl="0" w:tentative="0">
      <w:start w:val="5"/>
      <w:numFmt w:val="japaneseCounting"/>
      <w:lvlText w:val="%1．"/>
      <w:lvlJc w:val="left"/>
      <w:pPr>
        <w:tabs>
          <w:tab w:val="left" w:pos="855"/>
        </w:tabs>
        <w:ind w:left="855" w:hanging="42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
    <w:nsid w:val="2D793DF8"/>
    <w:multiLevelType w:val="multilevel"/>
    <w:tmpl w:val="2D793DF8"/>
    <w:lvl w:ilvl="0" w:tentative="0">
      <w:start w:val="1"/>
      <w:numFmt w:val="japaneseCounting"/>
      <w:lvlText w:val="%1．"/>
      <w:lvlJc w:val="left"/>
      <w:pPr>
        <w:tabs>
          <w:tab w:val="left" w:pos="855"/>
        </w:tabs>
        <w:ind w:left="855" w:hanging="42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2">
    <w:nsid w:val="676E2B60"/>
    <w:multiLevelType w:val="multilevel"/>
    <w:tmpl w:val="676E2B60"/>
    <w:lvl w:ilvl="0" w:tentative="0">
      <w:start w:val="1"/>
      <w:numFmt w:val="ideographTraditional"/>
      <w:lvlText w:val="%1、"/>
      <w:lvlJc w:val="left"/>
      <w:pPr>
        <w:tabs>
          <w:tab w:val="left" w:pos="855"/>
        </w:tabs>
        <w:ind w:left="855" w:hanging="42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3">
    <w:nsid w:val="7A1547CD"/>
    <w:multiLevelType w:val="multilevel"/>
    <w:tmpl w:val="7A1547CD"/>
    <w:lvl w:ilvl="0" w:tentative="0">
      <w:start w:val="1"/>
      <w:numFmt w:val="decimal"/>
      <w:lvlText w:val="%1."/>
      <w:lvlJc w:val="left"/>
      <w:pPr>
        <w:tabs>
          <w:tab w:val="left" w:pos="795"/>
        </w:tabs>
        <w:ind w:left="795" w:hanging="36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CB099E"/>
    <w:rsid w:val="002E4E33"/>
    <w:rsid w:val="004D15E2"/>
    <w:rsid w:val="00C03878"/>
    <w:rsid w:val="3ACB0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cdbab254-3a90-440a-9d61-e2d38a64d9b6\&#32654;&#39135;&#24191;&#22330;&#21152;&#30431;&#21327;&#35758;&#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美食广场加盟协议书.docx</Template>
  <Pages>3</Pages>
  <Words>919</Words>
  <Characters>926</Characters>
  <Lines>26</Lines>
  <Paragraphs>35</Paragraphs>
  <TotalTime>0</TotalTime>
  <ScaleCrop>false</ScaleCrop>
  <LinksUpToDate>false</LinksUpToDate>
  <CharactersWithSpaces>1072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2021-09-23T10:06:00Z</dcterms:created>
  <dc:creator>Along</dc:creator>
  <cp:lastModifiedBy>Along</cp:lastModifiedBy>
  <dcterms:modified xsi:type="dcterms:W3CDTF">2021-09-23T10:06:38Z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v1.0_mb_MmmcmgqwSAn7+Y44AzfEPQ==</vt:lpwstr>
  </property>
  <property fmtid="{D5CDD505-2E9C-101B-9397-08002B2CF9AE}" pid="4" name="ICV">
    <vt:lpwstr>142AA7BE6BEA43348A5F7CC297ACD7D6</vt:lpwstr>
  </property>
</Properties>
</file>